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E61" w:rsidRPr="00F342FF" w:rsidRDefault="00DB1E61" w:rsidP="00DB1E61">
      <w:pPr>
        <w:tabs>
          <w:tab w:val="right" w:pos="9360"/>
        </w:tabs>
        <w:jc w:val="center"/>
        <w:rPr>
          <w:rFonts w:ascii="Arial" w:hAnsi="Arial" w:cs="Arial"/>
          <w:b/>
          <w:sz w:val="24"/>
          <w:szCs w:val="20"/>
        </w:rPr>
      </w:pPr>
      <w:r>
        <w:rPr>
          <w:rFonts w:ascii="Arial" w:hAnsi="Arial" w:cs="Arial"/>
          <w:b/>
          <w:sz w:val="24"/>
          <w:szCs w:val="20"/>
        </w:rPr>
        <w:t>POST-</w:t>
      </w:r>
      <w:r w:rsidRPr="00F342FF">
        <w:rPr>
          <w:rFonts w:ascii="Arial" w:hAnsi="Arial" w:cs="Arial"/>
          <w:b/>
          <w:sz w:val="24"/>
          <w:szCs w:val="20"/>
        </w:rPr>
        <w:t>GRADUATE STUDENT ADMISSION</w:t>
      </w:r>
    </w:p>
    <w:p w:rsidR="00DB1E61" w:rsidRPr="00F342FF" w:rsidRDefault="00DB1E61" w:rsidP="00DB1E61">
      <w:pPr>
        <w:tabs>
          <w:tab w:val="right" w:pos="9360"/>
        </w:tabs>
        <w:jc w:val="center"/>
        <w:rPr>
          <w:rFonts w:ascii="Arial" w:hAnsi="Arial" w:cs="Arial"/>
          <w:b/>
          <w:sz w:val="24"/>
          <w:szCs w:val="20"/>
        </w:rPr>
      </w:pPr>
      <w:r w:rsidRPr="00F342FF">
        <w:rPr>
          <w:rFonts w:ascii="Arial" w:hAnsi="Arial" w:cs="Arial"/>
          <w:b/>
          <w:sz w:val="24"/>
          <w:szCs w:val="20"/>
        </w:rPr>
        <w:t xml:space="preserve">TO MASTER OF SCIENCE </w:t>
      </w:r>
      <w:r>
        <w:rPr>
          <w:rFonts w:ascii="Arial" w:hAnsi="Arial" w:cs="Arial"/>
          <w:b/>
          <w:sz w:val="24"/>
          <w:szCs w:val="20"/>
        </w:rPr>
        <w:t xml:space="preserve">DOUBLE DEGREE </w:t>
      </w:r>
      <w:r w:rsidRPr="00F342FF">
        <w:rPr>
          <w:rFonts w:ascii="Arial" w:hAnsi="Arial" w:cs="Arial"/>
          <w:b/>
          <w:sz w:val="24"/>
          <w:szCs w:val="20"/>
        </w:rPr>
        <w:t>PROGRAMME</w:t>
      </w:r>
    </w:p>
    <w:p w:rsidR="00DB1E61" w:rsidRPr="00DB1E61" w:rsidRDefault="00DB1E61" w:rsidP="00DB1E61">
      <w:pPr>
        <w:tabs>
          <w:tab w:val="left" w:pos="4320"/>
        </w:tabs>
        <w:jc w:val="both"/>
        <w:rPr>
          <w:rFonts w:ascii="Arial" w:eastAsiaTheme="minorEastAsia" w:hAnsi="Arial" w:cs="Arial" w:hint="eastAsia"/>
          <w:b/>
          <w:noProof/>
          <w:sz w:val="20"/>
          <w:szCs w:val="20"/>
          <w:u w:val="single"/>
          <w:lang w:eastAsia="zh-CN"/>
        </w:rPr>
      </w:pPr>
      <w:bookmarkStart w:id="0" w:name="_GoBack"/>
      <w:bookmarkEnd w:id="0"/>
    </w:p>
    <w:p w:rsidR="00DB1E61" w:rsidRPr="00177219" w:rsidRDefault="00DB1E61" w:rsidP="00DB1E61">
      <w:pPr>
        <w:tabs>
          <w:tab w:val="left" w:pos="4320"/>
        </w:tabs>
        <w:jc w:val="both"/>
        <w:rPr>
          <w:rFonts w:ascii="Arial" w:hAnsi="Arial" w:cs="Arial"/>
          <w:b/>
          <w:noProof/>
          <w:sz w:val="20"/>
          <w:szCs w:val="20"/>
          <w:u w:val="single"/>
        </w:rPr>
      </w:pPr>
      <w:r w:rsidRPr="00177219">
        <w:rPr>
          <w:rFonts w:ascii="Arial" w:hAnsi="Arial" w:cs="Arial"/>
          <w:b/>
          <w:noProof/>
          <w:sz w:val="20"/>
          <w:szCs w:val="20"/>
          <w:u w:val="single"/>
        </w:rPr>
        <w:t>ANNEX A</w:t>
      </w:r>
    </w:p>
    <w:p w:rsidR="00DB1E61" w:rsidRPr="00177219" w:rsidRDefault="00DB1E61" w:rsidP="00DB1E61">
      <w:pPr>
        <w:tabs>
          <w:tab w:val="left" w:pos="4320"/>
        </w:tabs>
        <w:jc w:val="both"/>
        <w:rPr>
          <w:rFonts w:ascii="Arial" w:hAnsi="Arial" w:cs="Arial"/>
          <w:b/>
          <w:noProof/>
          <w:sz w:val="20"/>
          <w:szCs w:val="20"/>
          <w:u w:val="single"/>
        </w:rPr>
      </w:pPr>
    </w:p>
    <w:p w:rsidR="00DB1E61" w:rsidRPr="00177219" w:rsidRDefault="00DB1E61" w:rsidP="00DB1E61">
      <w:pPr>
        <w:tabs>
          <w:tab w:val="left" w:pos="4320"/>
        </w:tabs>
        <w:jc w:val="both"/>
        <w:rPr>
          <w:rFonts w:ascii="Arial" w:hAnsi="Arial" w:cs="Arial"/>
          <w:b/>
          <w:noProof/>
          <w:sz w:val="20"/>
          <w:szCs w:val="20"/>
        </w:rPr>
      </w:pPr>
      <w:r w:rsidRPr="00177219">
        <w:rPr>
          <w:rFonts w:ascii="Arial" w:hAnsi="Arial" w:cs="Arial"/>
          <w:b/>
          <w:noProof/>
          <w:sz w:val="20"/>
          <w:szCs w:val="20"/>
        </w:rPr>
        <w:t>I. Residency Requirement</w:t>
      </w:r>
    </w:p>
    <w:p w:rsidR="00DB1E61" w:rsidRPr="00177219" w:rsidRDefault="00DB1E61" w:rsidP="00DB1E61">
      <w:pPr>
        <w:tabs>
          <w:tab w:val="left" w:pos="4320"/>
        </w:tabs>
        <w:jc w:val="both"/>
        <w:rPr>
          <w:rFonts w:ascii="Arial" w:hAnsi="Arial" w:cs="Arial"/>
          <w:b/>
          <w:noProof/>
          <w:sz w:val="20"/>
          <w:szCs w:val="20"/>
        </w:rPr>
      </w:pPr>
    </w:p>
    <w:p w:rsidR="00DB1E61" w:rsidRPr="00177219" w:rsidRDefault="00DB1E61" w:rsidP="00DB1E61">
      <w:pPr>
        <w:tabs>
          <w:tab w:val="left" w:pos="4320"/>
        </w:tabs>
        <w:jc w:val="both"/>
        <w:rPr>
          <w:rFonts w:ascii="Arial" w:hAnsi="Arial" w:cs="Arial"/>
          <w:noProof/>
          <w:sz w:val="20"/>
          <w:szCs w:val="20"/>
          <w:lang w:val="en-SG"/>
        </w:rPr>
      </w:pPr>
      <w:r w:rsidRPr="00177219">
        <w:rPr>
          <w:rFonts w:ascii="Arial" w:hAnsi="Arial" w:cs="Arial"/>
          <w:noProof/>
          <w:sz w:val="20"/>
          <w:szCs w:val="20"/>
          <w:lang w:val="en-SG"/>
        </w:rPr>
        <w:t>Students enrolled in the NUS Master’s programme were required to spend a minimum of six months at NUS according to NUS residency requirement for MSc degree.</w:t>
      </w:r>
    </w:p>
    <w:p w:rsidR="00DB1E61" w:rsidRPr="00177219" w:rsidRDefault="00DB1E61" w:rsidP="00DB1E61">
      <w:pPr>
        <w:tabs>
          <w:tab w:val="left" w:pos="4320"/>
        </w:tabs>
        <w:jc w:val="both"/>
        <w:rPr>
          <w:rFonts w:ascii="Arial" w:hAnsi="Arial" w:cs="Arial"/>
          <w:noProof/>
          <w:sz w:val="20"/>
          <w:szCs w:val="20"/>
          <w:lang w:val="en-SG"/>
        </w:rPr>
      </w:pPr>
    </w:p>
    <w:p w:rsidR="00DB1E61" w:rsidRPr="00177219" w:rsidRDefault="00DB1E61" w:rsidP="00DB1E61">
      <w:pPr>
        <w:tabs>
          <w:tab w:val="left" w:pos="4320"/>
        </w:tabs>
        <w:jc w:val="both"/>
        <w:rPr>
          <w:rFonts w:ascii="Arial" w:hAnsi="Arial" w:cs="Arial"/>
          <w:b/>
          <w:noProof/>
          <w:sz w:val="20"/>
          <w:szCs w:val="20"/>
        </w:rPr>
      </w:pPr>
      <w:r w:rsidRPr="00177219">
        <w:rPr>
          <w:rFonts w:ascii="Arial" w:hAnsi="Arial" w:cs="Arial"/>
          <w:b/>
          <w:noProof/>
          <w:sz w:val="20"/>
          <w:szCs w:val="20"/>
        </w:rPr>
        <w:t>II. Course Structure and Curriculum</w:t>
      </w:r>
    </w:p>
    <w:p w:rsidR="00DB1E61" w:rsidRPr="00177219" w:rsidRDefault="00DB1E61" w:rsidP="00DB1E61">
      <w:pPr>
        <w:tabs>
          <w:tab w:val="left" w:pos="4320"/>
        </w:tabs>
        <w:jc w:val="both"/>
        <w:rPr>
          <w:rFonts w:ascii="Arial" w:hAnsi="Arial" w:cs="Arial"/>
          <w:noProof/>
          <w:sz w:val="20"/>
          <w:szCs w:val="20"/>
        </w:rPr>
      </w:pPr>
    </w:p>
    <w:p w:rsidR="00DB1E61" w:rsidRPr="00177219" w:rsidRDefault="00DB1E61" w:rsidP="00DB1E61">
      <w:pPr>
        <w:tabs>
          <w:tab w:val="left" w:pos="4320"/>
        </w:tabs>
        <w:jc w:val="both"/>
        <w:rPr>
          <w:rFonts w:ascii="Arial" w:hAnsi="Arial" w:cs="Arial"/>
          <w:noProof/>
          <w:sz w:val="20"/>
          <w:szCs w:val="20"/>
        </w:rPr>
      </w:pPr>
      <w:r w:rsidRPr="00177219">
        <w:rPr>
          <w:rFonts w:ascii="Arial" w:hAnsi="Arial" w:cs="Arial"/>
          <w:noProof/>
          <w:sz w:val="20"/>
          <w:szCs w:val="20"/>
        </w:rPr>
        <w:t>Students enrolled in the NUS MSc by research program are full-time students and are required to attend and pass a minimum of 4 modules (1 compulsory seminar module + 3 modules from level 5000 and above including up to 2 modules which may be replaced by an equivalent module from PKU MSc courses).</w:t>
      </w:r>
    </w:p>
    <w:p w:rsidR="00DB1E61" w:rsidRPr="00177219" w:rsidRDefault="00DB1E61" w:rsidP="00DB1E61">
      <w:pPr>
        <w:tabs>
          <w:tab w:val="left" w:pos="4320"/>
        </w:tabs>
        <w:jc w:val="both"/>
        <w:rPr>
          <w:rFonts w:ascii="Arial" w:hAnsi="Arial" w:cs="Arial"/>
          <w:noProof/>
          <w:sz w:val="20"/>
          <w:szCs w:val="20"/>
        </w:rPr>
      </w:pPr>
    </w:p>
    <w:p w:rsidR="00DB1E61" w:rsidRPr="00177219" w:rsidRDefault="00DB1E61" w:rsidP="00DB1E61">
      <w:pPr>
        <w:tabs>
          <w:tab w:val="left" w:pos="4320"/>
        </w:tabs>
        <w:jc w:val="both"/>
        <w:rPr>
          <w:rFonts w:ascii="Arial" w:hAnsi="Arial" w:cs="Arial"/>
          <w:noProof/>
          <w:sz w:val="20"/>
          <w:szCs w:val="20"/>
          <w:lang w:val="en-SG"/>
        </w:rPr>
      </w:pPr>
      <w:r w:rsidRPr="00177219">
        <w:rPr>
          <w:rFonts w:ascii="Arial" w:hAnsi="Arial" w:cs="Arial"/>
          <w:noProof/>
          <w:sz w:val="20"/>
          <w:szCs w:val="20"/>
          <w:lang w:val="en-SG"/>
        </w:rPr>
        <w:t>Students enrolled in the NUS MSc programme were required to submit a thesis in English to be examined according to NUS guidelines for MSc theses.</w:t>
      </w:r>
    </w:p>
    <w:p w:rsidR="00DB1E61" w:rsidRPr="00177219" w:rsidRDefault="00DB1E61" w:rsidP="00DB1E61">
      <w:pPr>
        <w:tabs>
          <w:tab w:val="left" w:pos="4320"/>
        </w:tabs>
        <w:jc w:val="both"/>
        <w:rPr>
          <w:rFonts w:ascii="Arial" w:hAnsi="Arial" w:cs="Arial"/>
          <w:noProof/>
          <w:sz w:val="20"/>
          <w:szCs w:val="20"/>
          <w:lang w:val="en-SG"/>
        </w:rPr>
      </w:pPr>
    </w:p>
    <w:p w:rsidR="00DB1E61" w:rsidRPr="00177219" w:rsidRDefault="00DB1E61" w:rsidP="00DB1E61">
      <w:pPr>
        <w:tabs>
          <w:tab w:val="left" w:pos="4320"/>
        </w:tabs>
        <w:jc w:val="both"/>
        <w:rPr>
          <w:rFonts w:ascii="Arial" w:hAnsi="Arial" w:cs="Arial"/>
          <w:noProof/>
          <w:sz w:val="20"/>
          <w:szCs w:val="20"/>
        </w:rPr>
      </w:pPr>
      <w:r w:rsidRPr="00177219">
        <w:rPr>
          <w:rFonts w:ascii="Arial" w:hAnsi="Arial" w:cs="Arial"/>
          <w:noProof/>
          <w:sz w:val="20"/>
          <w:szCs w:val="20"/>
        </w:rPr>
        <w:t>The following table shows the modules offered for MSc candidates in Chemistry at NUS.</w:t>
      </w:r>
    </w:p>
    <w:p w:rsidR="00DB1E61" w:rsidRPr="00177219" w:rsidRDefault="00DB1E61" w:rsidP="00DB1E61">
      <w:pPr>
        <w:tabs>
          <w:tab w:val="left" w:pos="4320"/>
        </w:tabs>
        <w:jc w:val="both"/>
        <w:rPr>
          <w:rFonts w:ascii="Arial" w:hAnsi="Arial" w:cs="Arial"/>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6945"/>
        <w:tblGridChange w:id="1">
          <w:tblGrid>
            <w:gridCol w:w="1668"/>
            <w:gridCol w:w="6945"/>
          </w:tblGrid>
        </w:tblGridChange>
      </w:tblGrid>
      <w:tr w:rsidR="00DB1E61" w:rsidRPr="00177219" w:rsidTr="00462BDC">
        <w:tblPrEx>
          <w:tblCellMar>
            <w:top w:w="0" w:type="dxa"/>
            <w:bottom w:w="0" w:type="dxa"/>
          </w:tblCellMar>
        </w:tblPrEx>
        <w:trPr>
          <w:trHeight w:val="183"/>
        </w:trPr>
        <w:tc>
          <w:tcPr>
            <w:tcW w:w="1668" w:type="dxa"/>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CM5111 </w:t>
            </w:r>
          </w:p>
        </w:tc>
        <w:tc>
          <w:tcPr>
            <w:tcW w:w="6945" w:type="dxa"/>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Graduate Inorganic Chemistry </w:t>
            </w:r>
          </w:p>
        </w:tc>
      </w:tr>
      <w:tr w:rsidR="00DB1E61" w:rsidRPr="00177219" w:rsidTr="00462BDC">
        <w:tblPrEx>
          <w:tblCellMar>
            <w:top w:w="0" w:type="dxa"/>
            <w:bottom w:w="0" w:type="dxa"/>
          </w:tblCellMar>
        </w:tblPrEx>
        <w:trPr>
          <w:trHeight w:val="183"/>
        </w:trPr>
        <w:tc>
          <w:tcPr>
            <w:tcW w:w="1668" w:type="dxa"/>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CM5121 </w:t>
            </w:r>
          </w:p>
        </w:tc>
        <w:tc>
          <w:tcPr>
            <w:tcW w:w="6945" w:type="dxa"/>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Graduate Organic Chemistry </w:t>
            </w:r>
          </w:p>
        </w:tc>
      </w:tr>
      <w:tr w:rsidR="00DB1E61" w:rsidRPr="00177219" w:rsidTr="00462BDC">
        <w:tblPrEx>
          <w:tblCellMar>
            <w:top w:w="0" w:type="dxa"/>
            <w:bottom w:w="0" w:type="dxa"/>
          </w:tblCellMar>
        </w:tblPrEx>
        <w:trPr>
          <w:trHeight w:val="183"/>
        </w:trPr>
        <w:tc>
          <w:tcPr>
            <w:tcW w:w="1668" w:type="dxa"/>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CM5131 </w:t>
            </w:r>
          </w:p>
        </w:tc>
        <w:tc>
          <w:tcPr>
            <w:tcW w:w="6945" w:type="dxa"/>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Graduate Physical Chemistry </w:t>
            </w:r>
          </w:p>
        </w:tc>
      </w:tr>
      <w:tr w:rsidR="00DB1E61" w:rsidRPr="00177219" w:rsidTr="00462BDC">
        <w:tblPrEx>
          <w:tblCellMar>
            <w:top w:w="0" w:type="dxa"/>
            <w:bottom w:w="0" w:type="dxa"/>
          </w:tblCellMar>
        </w:tblPrEx>
        <w:trPr>
          <w:trHeight w:val="183"/>
        </w:trPr>
        <w:tc>
          <w:tcPr>
            <w:tcW w:w="1668" w:type="dxa"/>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CM5141 </w:t>
            </w:r>
          </w:p>
        </w:tc>
        <w:tc>
          <w:tcPr>
            <w:tcW w:w="6945" w:type="dxa"/>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Graduate Analytical Chemistry </w:t>
            </w:r>
          </w:p>
        </w:tc>
      </w:tr>
      <w:tr w:rsidR="00DB1E61" w:rsidRPr="00177219" w:rsidTr="00462BDC">
        <w:tblPrEx>
          <w:tblCellMar>
            <w:top w:w="0" w:type="dxa"/>
            <w:bottom w:w="0" w:type="dxa"/>
          </w:tblCellMar>
        </w:tblPrEx>
        <w:trPr>
          <w:trHeight w:val="183"/>
        </w:trPr>
        <w:tc>
          <w:tcPr>
            <w:tcW w:w="1668" w:type="dxa"/>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CM5198 </w:t>
            </w:r>
          </w:p>
        </w:tc>
        <w:tc>
          <w:tcPr>
            <w:tcW w:w="6945" w:type="dxa"/>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Graduate Seminar Module </w:t>
            </w:r>
          </w:p>
        </w:tc>
      </w:tr>
      <w:tr w:rsidR="00DB1E61" w:rsidRPr="00177219" w:rsidTr="00462BDC">
        <w:tblPrEx>
          <w:tblCellMar>
            <w:top w:w="0" w:type="dxa"/>
            <w:bottom w:w="0" w:type="dxa"/>
          </w:tblCellMar>
        </w:tblPrEx>
        <w:trPr>
          <w:trHeight w:val="183"/>
        </w:trPr>
        <w:tc>
          <w:tcPr>
            <w:tcW w:w="1668" w:type="dxa"/>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CM5201 </w:t>
            </w:r>
          </w:p>
        </w:tc>
        <w:tc>
          <w:tcPr>
            <w:tcW w:w="6945" w:type="dxa"/>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Practical Synthetic and Analytical Chemistry </w:t>
            </w:r>
          </w:p>
        </w:tc>
      </w:tr>
      <w:tr w:rsidR="00DB1E61" w:rsidRPr="00177219" w:rsidTr="00462BDC">
        <w:tblPrEx>
          <w:tblCellMar>
            <w:top w:w="0" w:type="dxa"/>
            <w:bottom w:w="0" w:type="dxa"/>
          </w:tblCellMar>
        </w:tblPrEx>
        <w:trPr>
          <w:trHeight w:val="183"/>
        </w:trPr>
        <w:tc>
          <w:tcPr>
            <w:tcW w:w="1668" w:type="dxa"/>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CM5211 </w:t>
            </w:r>
          </w:p>
        </w:tc>
        <w:tc>
          <w:tcPr>
            <w:tcW w:w="6945" w:type="dxa"/>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Contemporary Organometallic Chemistry </w:t>
            </w:r>
          </w:p>
        </w:tc>
      </w:tr>
      <w:tr w:rsidR="00DB1E61" w:rsidRPr="00177219" w:rsidTr="00462BDC">
        <w:tblPrEx>
          <w:tblCellMar>
            <w:top w:w="0" w:type="dxa"/>
            <w:bottom w:w="0" w:type="dxa"/>
          </w:tblCellMar>
        </w:tblPrEx>
        <w:trPr>
          <w:trHeight w:val="183"/>
        </w:trPr>
        <w:tc>
          <w:tcPr>
            <w:tcW w:w="1668" w:type="dxa"/>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CM5221 </w:t>
            </w:r>
          </w:p>
        </w:tc>
        <w:tc>
          <w:tcPr>
            <w:tcW w:w="6945" w:type="dxa"/>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Advanced Organic Synthesis </w:t>
            </w:r>
          </w:p>
        </w:tc>
      </w:tr>
      <w:tr w:rsidR="00DB1E61" w:rsidRPr="00177219" w:rsidTr="00462BDC">
        <w:tblPrEx>
          <w:tblCellMar>
            <w:top w:w="0" w:type="dxa"/>
            <w:bottom w:w="0" w:type="dxa"/>
          </w:tblCellMar>
        </w:tblPrEx>
        <w:trPr>
          <w:trHeight w:val="183"/>
        </w:trPr>
        <w:tc>
          <w:tcPr>
            <w:tcW w:w="1668" w:type="dxa"/>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CM5222 </w:t>
            </w:r>
          </w:p>
        </w:tc>
        <w:tc>
          <w:tcPr>
            <w:tcW w:w="6945" w:type="dxa"/>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Bioorganic Chemistry </w:t>
            </w:r>
          </w:p>
        </w:tc>
      </w:tr>
      <w:tr w:rsidR="00DB1E61" w:rsidRPr="00177219" w:rsidTr="00462BDC">
        <w:tblPrEx>
          <w:tblCellMar>
            <w:top w:w="0" w:type="dxa"/>
            <w:bottom w:w="0" w:type="dxa"/>
          </w:tblCellMar>
        </w:tblPrEx>
        <w:trPr>
          <w:trHeight w:val="183"/>
        </w:trPr>
        <w:tc>
          <w:tcPr>
            <w:tcW w:w="1668" w:type="dxa"/>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CM5223 </w:t>
            </w:r>
          </w:p>
        </w:tc>
        <w:tc>
          <w:tcPr>
            <w:tcW w:w="6945" w:type="dxa"/>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Topics in Supramolecular Chemistry </w:t>
            </w:r>
          </w:p>
        </w:tc>
      </w:tr>
      <w:tr w:rsidR="00DB1E61" w:rsidRPr="00177219" w:rsidTr="00462BDC">
        <w:tblPrEx>
          <w:tblCellMar>
            <w:top w:w="0" w:type="dxa"/>
            <w:bottom w:w="0" w:type="dxa"/>
          </w:tblCellMar>
        </w:tblPrEx>
        <w:trPr>
          <w:trHeight w:val="183"/>
        </w:trPr>
        <w:tc>
          <w:tcPr>
            <w:tcW w:w="1668" w:type="dxa"/>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CM5224 </w:t>
            </w:r>
          </w:p>
        </w:tc>
        <w:tc>
          <w:tcPr>
            <w:tcW w:w="6945" w:type="dxa"/>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Emerging Concepts in Drug Discovery </w:t>
            </w:r>
          </w:p>
        </w:tc>
      </w:tr>
      <w:tr w:rsidR="00DB1E61" w:rsidRPr="00177219" w:rsidTr="00462BDC">
        <w:tblPrEx>
          <w:tblCellMar>
            <w:top w:w="0" w:type="dxa"/>
            <w:bottom w:w="0" w:type="dxa"/>
          </w:tblCellMar>
        </w:tblPrEx>
        <w:trPr>
          <w:trHeight w:val="183"/>
        </w:trPr>
        <w:tc>
          <w:tcPr>
            <w:tcW w:w="1668" w:type="dxa"/>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CM5237 </w:t>
            </w:r>
          </w:p>
        </w:tc>
        <w:tc>
          <w:tcPr>
            <w:tcW w:w="6945" w:type="dxa"/>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Advanced Optical Spectroscopy and Imaging </w:t>
            </w:r>
          </w:p>
        </w:tc>
      </w:tr>
      <w:tr w:rsidR="00DB1E61" w:rsidRPr="00177219" w:rsidTr="00462BDC">
        <w:tblPrEx>
          <w:tblCellMar>
            <w:top w:w="0" w:type="dxa"/>
            <w:bottom w:w="0" w:type="dxa"/>
          </w:tblCellMar>
        </w:tblPrEx>
        <w:trPr>
          <w:trHeight w:val="183"/>
        </w:trPr>
        <w:tc>
          <w:tcPr>
            <w:tcW w:w="1668" w:type="dxa"/>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CM5238 </w:t>
            </w:r>
          </w:p>
        </w:tc>
        <w:tc>
          <w:tcPr>
            <w:tcW w:w="6945" w:type="dxa"/>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Crystallization and Functional Materials </w:t>
            </w:r>
          </w:p>
        </w:tc>
      </w:tr>
      <w:tr w:rsidR="00DB1E61" w:rsidRPr="00177219" w:rsidTr="00462BDC">
        <w:tblPrEx>
          <w:tblCellMar>
            <w:top w:w="0" w:type="dxa"/>
            <w:bottom w:w="0" w:type="dxa"/>
          </w:tblCellMar>
        </w:tblPrEx>
        <w:trPr>
          <w:trHeight w:val="183"/>
        </w:trPr>
        <w:tc>
          <w:tcPr>
            <w:tcW w:w="1668" w:type="dxa"/>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CM5241 </w:t>
            </w:r>
          </w:p>
        </w:tc>
        <w:tc>
          <w:tcPr>
            <w:tcW w:w="6945" w:type="dxa"/>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Modern Analytical Techniques </w:t>
            </w:r>
          </w:p>
        </w:tc>
      </w:tr>
      <w:tr w:rsidR="00DB1E61" w:rsidRPr="00177219" w:rsidTr="00462BDC">
        <w:tblPrEx>
          <w:tblCellMar>
            <w:top w:w="0" w:type="dxa"/>
            <w:bottom w:w="0" w:type="dxa"/>
          </w:tblCellMar>
        </w:tblPrEx>
        <w:trPr>
          <w:trHeight w:val="183"/>
        </w:trPr>
        <w:tc>
          <w:tcPr>
            <w:tcW w:w="1668" w:type="dxa"/>
            <w:tcBorders>
              <w:top w:val="single" w:sz="4" w:space="0" w:color="auto"/>
              <w:left w:val="single" w:sz="4" w:space="0" w:color="auto"/>
              <w:bottom w:val="single" w:sz="4" w:space="0" w:color="auto"/>
              <w:right w:val="single" w:sz="4" w:space="0" w:color="auto"/>
            </w:tcBorders>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CM5243 </w:t>
            </w:r>
          </w:p>
        </w:tc>
        <w:tc>
          <w:tcPr>
            <w:tcW w:w="6945" w:type="dxa"/>
            <w:tcBorders>
              <w:top w:val="single" w:sz="4" w:space="0" w:color="auto"/>
              <w:left w:val="single" w:sz="4" w:space="0" w:color="auto"/>
              <w:bottom w:val="single" w:sz="4" w:space="0" w:color="auto"/>
              <w:right w:val="single" w:sz="4" w:space="0" w:color="auto"/>
            </w:tcBorders>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X-Ray Crystallography - A Practical Approach </w:t>
            </w:r>
          </w:p>
        </w:tc>
      </w:tr>
      <w:tr w:rsidR="00DB1E61" w:rsidRPr="00177219" w:rsidTr="00462BDC">
        <w:tblPrEx>
          <w:tblCellMar>
            <w:top w:w="0" w:type="dxa"/>
            <w:bottom w:w="0" w:type="dxa"/>
          </w:tblCellMar>
        </w:tblPrEx>
        <w:trPr>
          <w:trHeight w:val="183"/>
        </w:trPr>
        <w:tc>
          <w:tcPr>
            <w:tcW w:w="1668" w:type="dxa"/>
            <w:tcBorders>
              <w:top w:val="single" w:sz="4" w:space="0" w:color="auto"/>
              <w:left w:val="single" w:sz="4" w:space="0" w:color="auto"/>
              <w:bottom w:val="single" w:sz="4" w:space="0" w:color="auto"/>
              <w:right w:val="single" w:sz="4" w:space="0" w:color="auto"/>
            </w:tcBorders>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CM5244 </w:t>
            </w:r>
          </w:p>
        </w:tc>
        <w:tc>
          <w:tcPr>
            <w:tcW w:w="6945" w:type="dxa"/>
            <w:tcBorders>
              <w:top w:val="single" w:sz="4" w:space="0" w:color="auto"/>
              <w:left w:val="single" w:sz="4" w:space="0" w:color="auto"/>
              <w:bottom w:val="single" w:sz="4" w:space="0" w:color="auto"/>
              <w:right w:val="single" w:sz="4" w:space="0" w:color="auto"/>
            </w:tcBorders>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Topics in Environmental Chemistry </w:t>
            </w:r>
          </w:p>
        </w:tc>
      </w:tr>
      <w:tr w:rsidR="00DB1E61" w:rsidRPr="00177219" w:rsidTr="00462BDC">
        <w:tblPrEx>
          <w:tblCellMar>
            <w:top w:w="0" w:type="dxa"/>
            <w:bottom w:w="0" w:type="dxa"/>
          </w:tblCellMar>
        </w:tblPrEx>
        <w:trPr>
          <w:trHeight w:val="183"/>
        </w:trPr>
        <w:tc>
          <w:tcPr>
            <w:tcW w:w="1668" w:type="dxa"/>
            <w:tcBorders>
              <w:top w:val="single" w:sz="4" w:space="0" w:color="auto"/>
              <w:left w:val="single" w:sz="4" w:space="0" w:color="auto"/>
              <w:bottom w:val="single" w:sz="4" w:space="0" w:color="auto"/>
              <w:right w:val="single" w:sz="4" w:space="0" w:color="auto"/>
            </w:tcBorders>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CM5245 </w:t>
            </w:r>
          </w:p>
        </w:tc>
        <w:tc>
          <w:tcPr>
            <w:tcW w:w="6945" w:type="dxa"/>
            <w:tcBorders>
              <w:top w:val="single" w:sz="4" w:space="0" w:color="auto"/>
              <w:left w:val="single" w:sz="4" w:space="0" w:color="auto"/>
              <w:bottom w:val="single" w:sz="4" w:space="0" w:color="auto"/>
              <w:right w:val="single" w:sz="4" w:space="0" w:color="auto"/>
            </w:tcBorders>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Bioanalytical Chemistry </w:t>
            </w:r>
          </w:p>
        </w:tc>
      </w:tr>
      <w:tr w:rsidR="00DB1E61" w:rsidRPr="00177219" w:rsidTr="00462BDC">
        <w:tblPrEx>
          <w:tblCellMar>
            <w:top w:w="0" w:type="dxa"/>
            <w:bottom w:w="0" w:type="dxa"/>
          </w:tblCellMar>
        </w:tblPrEx>
        <w:trPr>
          <w:trHeight w:val="183"/>
        </w:trPr>
        <w:tc>
          <w:tcPr>
            <w:tcW w:w="1668" w:type="dxa"/>
            <w:tcBorders>
              <w:top w:val="single" w:sz="4" w:space="0" w:color="auto"/>
              <w:left w:val="single" w:sz="4" w:space="0" w:color="auto"/>
              <w:bottom w:val="single" w:sz="4" w:space="0" w:color="auto"/>
              <w:right w:val="single" w:sz="4" w:space="0" w:color="auto"/>
            </w:tcBorders>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CM5262 </w:t>
            </w:r>
          </w:p>
        </w:tc>
        <w:tc>
          <w:tcPr>
            <w:tcW w:w="6945" w:type="dxa"/>
            <w:tcBorders>
              <w:top w:val="single" w:sz="4" w:space="0" w:color="auto"/>
              <w:left w:val="single" w:sz="4" w:space="0" w:color="auto"/>
              <w:bottom w:val="single" w:sz="4" w:space="0" w:color="auto"/>
              <w:right w:val="single" w:sz="4" w:space="0" w:color="auto"/>
            </w:tcBorders>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Contemporary Materials Chemistry </w:t>
            </w:r>
          </w:p>
        </w:tc>
      </w:tr>
      <w:tr w:rsidR="00DB1E61" w:rsidRPr="00177219" w:rsidTr="00462BDC">
        <w:tblPrEx>
          <w:tblCellMar>
            <w:top w:w="0" w:type="dxa"/>
            <w:bottom w:w="0" w:type="dxa"/>
          </w:tblCellMar>
        </w:tblPrEx>
        <w:trPr>
          <w:trHeight w:val="183"/>
        </w:trPr>
        <w:tc>
          <w:tcPr>
            <w:tcW w:w="1668" w:type="dxa"/>
            <w:tcBorders>
              <w:top w:val="single" w:sz="4" w:space="0" w:color="auto"/>
              <w:left w:val="single" w:sz="4" w:space="0" w:color="auto"/>
              <w:bottom w:val="single" w:sz="4" w:space="0" w:color="auto"/>
              <w:right w:val="single" w:sz="4" w:space="0" w:color="auto"/>
            </w:tcBorders>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CM5268 </w:t>
            </w:r>
          </w:p>
        </w:tc>
        <w:tc>
          <w:tcPr>
            <w:tcW w:w="6945" w:type="dxa"/>
            <w:tcBorders>
              <w:top w:val="single" w:sz="4" w:space="0" w:color="auto"/>
              <w:left w:val="single" w:sz="4" w:space="0" w:color="auto"/>
              <w:bottom w:val="single" w:sz="4" w:space="0" w:color="auto"/>
              <w:right w:val="single" w:sz="4" w:space="0" w:color="auto"/>
            </w:tcBorders>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Advanced Organic Materials </w:t>
            </w:r>
          </w:p>
        </w:tc>
      </w:tr>
    </w:tbl>
    <w:p w:rsidR="00DB1E61" w:rsidRPr="00177219" w:rsidRDefault="00DB1E61" w:rsidP="00DB1E61">
      <w:pPr>
        <w:tabs>
          <w:tab w:val="left" w:pos="4320"/>
        </w:tabs>
        <w:jc w:val="both"/>
        <w:rPr>
          <w:rFonts w:ascii="Arial" w:hAnsi="Arial" w:cs="Arial"/>
          <w:noProof/>
          <w:sz w:val="20"/>
          <w:szCs w:val="20"/>
        </w:rPr>
      </w:pPr>
    </w:p>
    <w:p w:rsidR="00DB1E61" w:rsidRPr="00177219" w:rsidRDefault="00DB1E61" w:rsidP="00DB1E61">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A list of PKU equivalent modules acceptable as NUS equivalent modules are given below. </w:t>
      </w:r>
    </w:p>
    <w:p w:rsidR="00DB1E61" w:rsidRPr="00177219" w:rsidRDefault="00DB1E61" w:rsidP="00DB1E61">
      <w:pPr>
        <w:autoSpaceDE w:val="0"/>
        <w:autoSpaceDN w:val="0"/>
        <w:adjustRightInd w:val="0"/>
        <w:spacing w:line="240" w:lineRule="auto"/>
        <w:rPr>
          <w:rFonts w:ascii="Arial" w:hAnsi="Arial" w:cs="Arial"/>
          <w:color w:val="000000"/>
          <w:sz w:val="20"/>
          <w:szCs w:val="20"/>
          <w:lang w:val="en-S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5"/>
        <w:gridCol w:w="4305"/>
      </w:tblGrid>
      <w:tr w:rsidR="00DB1E61" w:rsidRPr="00177219" w:rsidTr="00462BDC">
        <w:tblPrEx>
          <w:tblCellMar>
            <w:top w:w="0" w:type="dxa"/>
            <w:bottom w:w="0" w:type="dxa"/>
          </w:tblCellMar>
        </w:tblPrEx>
        <w:trPr>
          <w:trHeight w:val="143"/>
        </w:trPr>
        <w:tc>
          <w:tcPr>
            <w:tcW w:w="4305" w:type="dxa"/>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b/>
                <w:bCs/>
                <w:color w:val="000000"/>
                <w:sz w:val="20"/>
                <w:szCs w:val="20"/>
                <w:lang w:val="en-SG" w:eastAsia="zh-CN"/>
              </w:rPr>
              <w:t xml:space="preserve">NUS MODULES </w:t>
            </w:r>
          </w:p>
        </w:tc>
        <w:tc>
          <w:tcPr>
            <w:tcW w:w="4305" w:type="dxa"/>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b/>
                <w:bCs/>
                <w:color w:val="000000"/>
                <w:sz w:val="20"/>
                <w:szCs w:val="20"/>
                <w:lang w:val="en-SG" w:eastAsia="zh-CN"/>
              </w:rPr>
              <w:t xml:space="preserve">PKU MODULES </w:t>
            </w:r>
          </w:p>
        </w:tc>
      </w:tr>
      <w:tr w:rsidR="00DB1E61" w:rsidRPr="00177219" w:rsidTr="00462BDC">
        <w:tblPrEx>
          <w:tblCellMar>
            <w:top w:w="0" w:type="dxa"/>
            <w:bottom w:w="0" w:type="dxa"/>
          </w:tblCellMar>
        </w:tblPrEx>
        <w:trPr>
          <w:trHeight w:val="255"/>
        </w:trPr>
        <w:tc>
          <w:tcPr>
            <w:tcW w:w="4305" w:type="dxa"/>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ESE 5205 Sludge and Solid Waste Management </w:t>
            </w:r>
          </w:p>
        </w:tc>
        <w:tc>
          <w:tcPr>
            <w:tcW w:w="4305" w:type="dxa"/>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Wastes management - principles and techniques </w:t>
            </w:r>
          </w:p>
        </w:tc>
      </w:tr>
      <w:tr w:rsidR="00DB1E61" w:rsidRPr="00177219" w:rsidTr="00462BDC">
        <w:tblPrEx>
          <w:tblCellMar>
            <w:top w:w="0" w:type="dxa"/>
            <w:bottom w:w="0" w:type="dxa"/>
          </w:tblCellMar>
        </w:tblPrEx>
        <w:trPr>
          <w:trHeight w:val="136"/>
        </w:trPr>
        <w:tc>
          <w:tcPr>
            <w:tcW w:w="4305" w:type="dxa"/>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ESE 5301 Environmental Biological Principles </w:t>
            </w:r>
          </w:p>
        </w:tc>
        <w:tc>
          <w:tcPr>
            <w:tcW w:w="4305" w:type="dxa"/>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Advanced Environmental Biotechnology and bioenergy </w:t>
            </w:r>
          </w:p>
        </w:tc>
      </w:tr>
      <w:tr w:rsidR="00DB1E61" w:rsidRPr="00177219" w:rsidTr="00462BDC">
        <w:tblPrEx>
          <w:tblCellMar>
            <w:top w:w="0" w:type="dxa"/>
            <w:bottom w:w="0" w:type="dxa"/>
          </w:tblCellMar>
        </w:tblPrEx>
        <w:trPr>
          <w:trHeight w:val="136"/>
        </w:trPr>
        <w:tc>
          <w:tcPr>
            <w:tcW w:w="4305" w:type="dxa"/>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ESE 5601 Environmental Risk Assessment </w:t>
            </w:r>
          </w:p>
        </w:tc>
        <w:tc>
          <w:tcPr>
            <w:tcW w:w="4305" w:type="dxa"/>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Modern environmental monitoring and analysis </w:t>
            </w:r>
          </w:p>
        </w:tc>
      </w:tr>
      <w:tr w:rsidR="00DB1E61" w:rsidRPr="00177219" w:rsidTr="00462BDC">
        <w:tblPrEx>
          <w:tblCellMar>
            <w:top w:w="0" w:type="dxa"/>
            <w:bottom w:w="0" w:type="dxa"/>
          </w:tblCellMar>
        </w:tblPrEx>
        <w:trPr>
          <w:trHeight w:val="136"/>
        </w:trPr>
        <w:tc>
          <w:tcPr>
            <w:tcW w:w="4305" w:type="dxa"/>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ESE 5602 Environmental Management Systems </w:t>
            </w:r>
          </w:p>
        </w:tc>
        <w:tc>
          <w:tcPr>
            <w:tcW w:w="4305" w:type="dxa"/>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Environmental impact assessment </w:t>
            </w:r>
          </w:p>
        </w:tc>
      </w:tr>
      <w:tr w:rsidR="00DB1E61" w:rsidRPr="00177219" w:rsidTr="00462BDC">
        <w:tblPrEx>
          <w:tblCellMar>
            <w:top w:w="0" w:type="dxa"/>
            <w:bottom w:w="0" w:type="dxa"/>
          </w:tblCellMar>
        </w:tblPrEx>
        <w:trPr>
          <w:trHeight w:val="136"/>
        </w:trPr>
        <w:tc>
          <w:tcPr>
            <w:tcW w:w="4305" w:type="dxa"/>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ESE 5401 Water Quality Management </w:t>
            </w:r>
          </w:p>
        </w:tc>
        <w:tc>
          <w:tcPr>
            <w:tcW w:w="4305" w:type="dxa"/>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Water and environment research topics </w:t>
            </w:r>
          </w:p>
        </w:tc>
      </w:tr>
      <w:tr w:rsidR="00DB1E61" w:rsidRPr="00177219" w:rsidTr="00462BDC">
        <w:tblPrEx>
          <w:tblCellMar>
            <w:top w:w="0" w:type="dxa"/>
            <w:bottom w:w="0" w:type="dxa"/>
          </w:tblCellMar>
        </w:tblPrEx>
        <w:trPr>
          <w:trHeight w:val="136"/>
        </w:trPr>
        <w:tc>
          <w:tcPr>
            <w:tcW w:w="4305" w:type="dxa"/>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ESE 5405 Water Treatment Processes </w:t>
            </w:r>
          </w:p>
        </w:tc>
        <w:tc>
          <w:tcPr>
            <w:tcW w:w="4305" w:type="dxa"/>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Water Treatment Principles and Engineering </w:t>
            </w:r>
          </w:p>
        </w:tc>
      </w:tr>
      <w:tr w:rsidR="00DB1E61" w:rsidRPr="00177219" w:rsidTr="00462BDC">
        <w:tblPrEx>
          <w:tblCellMar>
            <w:top w:w="0" w:type="dxa"/>
            <w:bottom w:w="0" w:type="dxa"/>
          </w:tblCellMar>
        </w:tblPrEx>
        <w:trPr>
          <w:trHeight w:val="136"/>
        </w:trPr>
        <w:tc>
          <w:tcPr>
            <w:tcW w:w="4305" w:type="dxa"/>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SH 5104 Occupational Health </w:t>
            </w:r>
          </w:p>
        </w:tc>
        <w:tc>
          <w:tcPr>
            <w:tcW w:w="4305" w:type="dxa"/>
          </w:tcPr>
          <w:p w:rsidR="00DB1E61" w:rsidRPr="00177219" w:rsidRDefault="00DB1E61" w:rsidP="00462BDC">
            <w:pPr>
              <w:autoSpaceDE w:val="0"/>
              <w:autoSpaceDN w:val="0"/>
              <w:adjustRightInd w:val="0"/>
              <w:spacing w:line="240" w:lineRule="auto"/>
              <w:rPr>
                <w:rFonts w:ascii="Arial" w:hAnsi="Arial" w:cs="Arial"/>
                <w:color w:val="000000"/>
                <w:sz w:val="20"/>
                <w:szCs w:val="20"/>
                <w:lang w:val="en-SG" w:eastAsia="zh-CN"/>
              </w:rPr>
            </w:pPr>
            <w:r w:rsidRPr="00177219">
              <w:rPr>
                <w:rFonts w:ascii="Arial" w:hAnsi="Arial" w:cs="Arial"/>
                <w:color w:val="000000"/>
                <w:sz w:val="20"/>
                <w:szCs w:val="20"/>
                <w:lang w:val="en-SG" w:eastAsia="zh-CN"/>
              </w:rPr>
              <w:t xml:space="preserve">Environment and Health </w:t>
            </w:r>
          </w:p>
        </w:tc>
      </w:tr>
    </w:tbl>
    <w:p w:rsidR="00DB1E61" w:rsidRPr="00177219" w:rsidRDefault="00DB1E61" w:rsidP="00DB1E61">
      <w:pPr>
        <w:tabs>
          <w:tab w:val="left" w:pos="4320"/>
        </w:tabs>
        <w:jc w:val="both"/>
        <w:rPr>
          <w:rFonts w:ascii="Arial" w:hAnsi="Arial" w:cs="Arial"/>
          <w:noProof/>
          <w:sz w:val="20"/>
          <w:szCs w:val="20"/>
        </w:rPr>
      </w:pPr>
    </w:p>
    <w:p w:rsidR="00DB1E61" w:rsidRPr="00177219" w:rsidRDefault="00DB1E61" w:rsidP="00DB1E61">
      <w:pPr>
        <w:tabs>
          <w:tab w:val="left" w:pos="4320"/>
        </w:tabs>
        <w:jc w:val="both"/>
        <w:rPr>
          <w:rFonts w:ascii="Arial" w:hAnsi="Arial" w:cs="Arial"/>
          <w:noProof/>
          <w:sz w:val="20"/>
          <w:szCs w:val="20"/>
          <w:lang w:val="en-SG"/>
        </w:rPr>
      </w:pPr>
    </w:p>
    <w:p w:rsidR="00DB1E61" w:rsidRPr="00177219" w:rsidRDefault="00DB1E61" w:rsidP="00DB1E61">
      <w:pPr>
        <w:tabs>
          <w:tab w:val="left" w:pos="4320"/>
        </w:tabs>
        <w:jc w:val="both"/>
        <w:rPr>
          <w:rFonts w:ascii="Arial" w:hAnsi="Arial" w:cs="Arial"/>
          <w:b/>
          <w:noProof/>
          <w:sz w:val="20"/>
          <w:szCs w:val="20"/>
        </w:rPr>
      </w:pPr>
    </w:p>
    <w:p w:rsidR="00DB1E61" w:rsidRPr="00177219" w:rsidRDefault="00DB1E61" w:rsidP="00DB1E61">
      <w:pPr>
        <w:tabs>
          <w:tab w:val="left" w:pos="4320"/>
        </w:tabs>
        <w:jc w:val="both"/>
        <w:rPr>
          <w:rFonts w:ascii="Arial" w:hAnsi="Arial" w:cs="Arial"/>
          <w:b/>
          <w:noProof/>
          <w:sz w:val="20"/>
          <w:szCs w:val="20"/>
        </w:rPr>
      </w:pPr>
      <w:r w:rsidRPr="00177219">
        <w:rPr>
          <w:rFonts w:ascii="Arial" w:hAnsi="Arial" w:cs="Arial"/>
          <w:b/>
          <w:noProof/>
          <w:sz w:val="20"/>
          <w:szCs w:val="20"/>
        </w:rPr>
        <w:t>III. Double Counting</w:t>
      </w:r>
    </w:p>
    <w:p w:rsidR="00DB1E61" w:rsidRPr="00177219" w:rsidRDefault="00DB1E61" w:rsidP="00DB1E61">
      <w:pPr>
        <w:tabs>
          <w:tab w:val="left" w:pos="4320"/>
        </w:tabs>
        <w:jc w:val="both"/>
        <w:rPr>
          <w:rFonts w:ascii="Arial" w:hAnsi="Arial" w:cs="Arial"/>
          <w:b/>
          <w:noProof/>
          <w:sz w:val="20"/>
          <w:szCs w:val="20"/>
        </w:rPr>
      </w:pPr>
    </w:p>
    <w:p w:rsidR="00DB1E61" w:rsidRPr="00177219" w:rsidRDefault="00DB1E61" w:rsidP="00DB1E61">
      <w:pPr>
        <w:tabs>
          <w:tab w:val="left" w:pos="4320"/>
        </w:tabs>
        <w:jc w:val="both"/>
        <w:rPr>
          <w:rFonts w:ascii="Arial" w:hAnsi="Arial" w:cs="Arial"/>
          <w:noProof/>
          <w:sz w:val="20"/>
          <w:szCs w:val="20"/>
        </w:rPr>
      </w:pPr>
      <w:r w:rsidRPr="00177219">
        <w:rPr>
          <w:rFonts w:ascii="Arial" w:hAnsi="Arial" w:cs="Arial"/>
          <w:noProof/>
          <w:sz w:val="20"/>
          <w:szCs w:val="20"/>
        </w:rPr>
        <w:t>NUS MSc students may substitute CM5000 modules with level-5 modules from other departments at NUS. The student can take up to 50% of the level 5 modules from other departments or faculties subject to approval of both Chemistry Department Graduate Committee, and the departments from which he/she wants to take the modules.</w:t>
      </w:r>
    </w:p>
    <w:p w:rsidR="00DB1E61" w:rsidRPr="00177219" w:rsidRDefault="00DB1E61" w:rsidP="00DB1E61">
      <w:pPr>
        <w:tabs>
          <w:tab w:val="left" w:pos="4320"/>
        </w:tabs>
        <w:jc w:val="both"/>
        <w:rPr>
          <w:rFonts w:ascii="Arial" w:hAnsi="Arial" w:cs="Arial"/>
          <w:noProof/>
          <w:sz w:val="20"/>
          <w:szCs w:val="20"/>
        </w:rPr>
      </w:pPr>
    </w:p>
    <w:p w:rsidR="00DB1E61" w:rsidRPr="00177219" w:rsidRDefault="00DB1E61" w:rsidP="00DB1E61">
      <w:pPr>
        <w:tabs>
          <w:tab w:val="left" w:pos="4320"/>
        </w:tabs>
        <w:jc w:val="both"/>
        <w:rPr>
          <w:rFonts w:ascii="Arial" w:hAnsi="Arial" w:cs="Arial"/>
          <w:noProof/>
          <w:sz w:val="20"/>
          <w:szCs w:val="20"/>
        </w:rPr>
      </w:pPr>
      <w:r w:rsidRPr="00177219">
        <w:rPr>
          <w:rFonts w:ascii="Arial" w:hAnsi="Arial" w:cs="Arial"/>
          <w:noProof/>
          <w:sz w:val="20"/>
          <w:szCs w:val="20"/>
        </w:rPr>
        <w:t>Students admitted into NUS MSc program may request for waiver of a maximum of 2 modules based on equivalent modules taken at PKU (at least one of the two modules should not have been used towards another degree at NUS or elsewhere) subjected to approval of Chemistry Department Graduate Committee.</w:t>
      </w:r>
    </w:p>
    <w:p w:rsidR="00DB1E61" w:rsidRPr="00177219" w:rsidRDefault="00DB1E61" w:rsidP="00DB1E61">
      <w:pPr>
        <w:tabs>
          <w:tab w:val="left" w:pos="4320"/>
        </w:tabs>
        <w:jc w:val="both"/>
        <w:rPr>
          <w:rFonts w:ascii="Arial" w:hAnsi="Arial" w:cs="Arial"/>
          <w:noProof/>
          <w:sz w:val="20"/>
          <w:szCs w:val="20"/>
        </w:rPr>
      </w:pPr>
    </w:p>
    <w:p w:rsidR="00DB1E61" w:rsidRPr="00177219" w:rsidRDefault="00DB1E61" w:rsidP="00DB1E61">
      <w:pPr>
        <w:tabs>
          <w:tab w:val="left" w:pos="4320"/>
        </w:tabs>
        <w:jc w:val="both"/>
        <w:rPr>
          <w:rFonts w:ascii="Arial" w:hAnsi="Arial" w:cs="Arial"/>
          <w:b/>
          <w:noProof/>
          <w:sz w:val="20"/>
          <w:szCs w:val="20"/>
        </w:rPr>
      </w:pPr>
      <w:r w:rsidRPr="00177219">
        <w:rPr>
          <w:rFonts w:ascii="Arial" w:hAnsi="Arial" w:cs="Arial"/>
          <w:b/>
          <w:noProof/>
          <w:sz w:val="20"/>
          <w:szCs w:val="20"/>
        </w:rPr>
        <w:t>IV. Double Degree Requirement</w:t>
      </w:r>
    </w:p>
    <w:p w:rsidR="00DB1E61" w:rsidRPr="00177219" w:rsidRDefault="00DB1E61" w:rsidP="00DB1E61">
      <w:pPr>
        <w:tabs>
          <w:tab w:val="left" w:pos="4320"/>
        </w:tabs>
        <w:jc w:val="both"/>
        <w:rPr>
          <w:rFonts w:ascii="Arial" w:hAnsi="Arial" w:cs="Arial"/>
          <w:b/>
          <w:noProof/>
          <w:sz w:val="20"/>
          <w:szCs w:val="20"/>
        </w:rPr>
      </w:pPr>
    </w:p>
    <w:p w:rsidR="00DB1E61" w:rsidRPr="00177219" w:rsidRDefault="00DB1E61" w:rsidP="00DB1E61">
      <w:pPr>
        <w:tabs>
          <w:tab w:val="left" w:pos="4320"/>
        </w:tabs>
        <w:jc w:val="both"/>
        <w:rPr>
          <w:rFonts w:ascii="Arial" w:hAnsi="Arial" w:cs="Arial"/>
          <w:noProof/>
          <w:sz w:val="20"/>
          <w:szCs w:val="20"/>
        </w:rPr>
      </w:pPr>
      <w:r w:rsidRPr="00177219">
        <w:rPr>
          <w:rFonts w:ascii="Arial" w:hAnsi="Arial" w:cs="Arial"/>
          <w:noProof/>
          <w:sz w:val="20"/>
          <w:szCs w:val="20"/>
        </w:rPr>
        <w:t>To graduate with both degrees, a candidate must independently fulfil both the NUS and PKU requirements. PKU students must successfully complete their coursework and thesis requirements of PKU before applying for admission into NUS. Students enrolled at NUS must successfully</w:t>
      </w:r>
    </w:p>
    <w:p w:rsidR="00DB1E61" w:rsidRPr="00177219" w:rsidRDefault="00DB1E61" w:rsidP="00DB1E61">
      <w:pPr>
        <w:tabs>
          <w:tab w:val="left" w:pos="4320"/>
        </w:tabs>
        <w:jc w:val="both"/>
        <w:rPr>
          <w:rFonts w:ascii="Arial" w:hAnsi="Arial" w:cs="Arial"/>
          <w:noProof/>
          <w:sz w:val="20"/>
          <w:szCs w:val="20"/>
        </w:rPr>
      </w:pPr>
    </w:p>
    <w:p w:rsidR="00DB1E61" w:rsidRPr="00177219" w:rsidRDefault="00DB1E61" w:rsidP="00DB1E61">
      <w:pPr>
        <w:numPr>
          <w:ilvl w:val="0"/>
          <w:numId w:val="1"/>
        </w:numPr>
        <w:tabs>
          <w:tab w:val="left" w:pos="357"/>
          <w:tab w:val="left" w:pos="4320"/>
        </w:tabs>
        <w:ind w:left="357" w:hanging="357"/>
        <w:rPr>
          <w:rFonts w:ascii="Arial" w:hAnsi="Arial" w:cs="Arial"/>
          <w:noProof/>
          <w:sz w:val="20"/>
          <w:szCs w:val="20"/>
        </w:rPr>
      </w:pPr>
      <w:r w:rsidRPr="00177219">
        <w:rPr>
          <w:rFonts w:ascii="Arial" w:hAnsi="Arial" w:cs="Arial"/>
          <w:noProof/>
          <w:sz w:val="20"/>
          <w:szCs w:val="20"/>
        </w:rPr>
        <w:t>achieve a minimum CAP of 3.0 for all modules;</w:t>
      </w:r>
    </w:p>
    <w:p w:rsidR="00DB1E61" w:rsidRPr="00177219" w:rsidRDefault="00DB1E61" w:rsidP="00DB1E61">
      <w:pPr>
        <w:numPr>
          <w:ilvl w:val="0"/>
          <w:numId w:val="1"/>
        </w:numPr>
        <w:tabs>
          <w:tab w:val="left" w:pos="357"/>
          <w:tab w:val="left" w:pos="4320"/>
        </w:tabs>
        <w:ind w:left="357" w:hanging="357"/>
        <w:rPr>
          <w:rFonts w:ascii="Arial" w:hAnsi="Arial" w:cs="Arial"/>
          <w:noProof/>
          <w:sz w:val="20"/>
          <w:szCs w:val="20"/>
        </w:rPr>
      </w:pPr>
      <w:r w:rsidRPr="00177219">
        <w:rPr>
          <w:rFonts w:ascii="Arial" w:hAnsi="Arial" w:cs="Arial"/>
          <w:noProof/>
          <w:sz w:val="20"/>
          <w:szCs w:val="20"/>
        </w:rPr>
        <w:t>obtain at least a grade C in the graduate English courses conducted by the Centre for English Language Communication at intermediate level (if applicable); and</w:t>
      </w:r>
    </w:p>
    <w:p w:rsidR="00DB1E61" w:rsidRPr="00177219" w:rsidRDefault="00DB1E61" w:rsidP="00DB1E61">
      <w:pPr>
        <w:numPr>
          <w:ilvl w:val="0"/>
          <w:numId w:val="1"/>
        </w:numPr>
        <w:tabs>
          <w:tab w:val="left" w:pos="357"/>
          <w:tab w:val="left" w:pos="4320"/>
        </w:tabs>
        <w:ind w:left="357" w:hanging="357"/>
        <w:rPr>
          <w:rFonts w:ascii="Arial" w:hAnsi="Arial" w:cs="Arial"/>
          <w:noProof/>
          <w:sz w:val="20"/>
          <w:szCs w:val="20"/>
        </w:rPr>
      </w:pPr>
      <w:r w:rsidRPr="00177219">
        <w:rPr>
          <w:rFonts w:ascii="Arial" w:hAnsi="Arial" w:cs="Arial"/>
          <w:noProof/>
          <w:sz w:val="20"/>
          <w:szCs w:val="20"/>
        </w:rPr>
        <w:t>pass the Master’s Thesis.</w:t>
      </w:r>
    </w:p>
    <w:p w:rsidR="00DB1E61" w:rsidRPr="00177219" w:rsidRDefault="00DB1E61" w:rsidP="00DB1E61">
      <w:pPr>
        <w:tabs>
          <w:tab w:val="left" w:pos="4320"/>
        </w:tabs>
        <w:jc w:val="both"/>
        <w:rPr>
          <w:rFonts w:ascii="Arial" w:hAnsi="Arial" w:cs="Arial"/>
          <w:noProof/>
          <w:sz w:val="20"/>
          <w:szCs w:val="20"/>
        </w:rPr>
      </w:pPr>
    </w:p>
    <w:p w:rsidR="00DB1E61" w:rsidRPr="00177219" w:rsidRDefault="00DB1E61" w:rsidP="00DB1E61">
      <w:pPr>
        <w:tabs>
          <w:tab w:val="left" w:pos="4320"/>
        </w:tabs>
        <w:jc w:val="both"/>
        <w:rPr>
          <w:rFonts w:ascii="Arial" w:hAnsi="Arial" w:cs="Arial"/>
          <w:b/>
          <w:noProof/>
          <w:sz w:val="20"/>
          <w:szCs w:val="20"/>
        </w:rPr>
      </w:pPr>
      <w:r w:rsidRPr="00177219">
        <w:rPr>
          <w:rFonts w:ascii="Arial" w:hAnsi="Arial" w:cs="Arial"/>
          <w:b/>
          <w:noProof/>
          <w:sz w:val="20"/>
          <w:szCs w:val="20"/>
        </w:rPr>
        <w:t>V. Quality Assurance Processes</w:t>
      </w:r>
    </w:p>
    <w:p w:rsidR="00DB1E61" w:rsidRPr="00177219" w:rsidRDefault="00DB1E61" w:rsidP="00DB1E61">
      <w:pPr>
        <w:tabs>
          <w:tab w:val="left" w:pos="4320"/>
        </w:tabs>
        <w:jc w:val="both"/>
        <w:rPr>
          <w:rFonts w:ascii="Arial" w:hAnsi="Arial" w:cs="Arial"/>
          <w:b/>
          <w:noProof/>
          <w:sz w:val="20"/>
          <w:szCs w:val="20"/>
        </w:rPr>
      </w:pPr>
    </w:p>
    <w:p w:rsidR="00DB1E61" w:rsidRPr="00177219" w:rsidRDefault="00DB1E61" w:rsidP="00DB1E61">
      <w:pPr>
        <w:tabs>
          <w:tab w:val="left" w:pos="4320"/>
        </w:tabs>
        <w:jc w:val="both"/>
        <w:rPr>
          <w:rFonts w:ascii="Arial" w:hAnsi="Arial" w:cs="Arial"/>
          <w:noProof/>
          <w:sz w:val="20"/>
          <w:szCs w:val="20"/>
        </w:rPr>
      </w:pPr>
      <w:r w:rsidRPr="00177219">
        <w:rPr>
          <w:rFonts w:ascii="Arial" w:hAnsi="Arial" w:cs="Arial"/>
          <w:noProof/>
          <w:sz w:val="20"/>
          <w:szCs w:val="20"/>
        </w:rPr>
        <w:t>The double-degree programme will be subject to a quality control by Chemistry Department Graduate Committee. The mechanism of quality control is as follows:</w:t>
      </w:r>
    </w:p>
    <w:p w:rsidR="00DB1E61" w:rsidRPr="00177219" w:rsidRDefault="00DB1E61" w:rsidP="00DB1E61">
      <w:pPr>
        <w:tabs>
          <w:tab w:val="left" w:pos="4320"/>
        </w:tabs>
        <w:jc w:val="both"/>
        <w:rPr>
          <w:rFonts w:ascii="Arial" w:hAnsi="Arial" w:cs="Arial"/>
          <w:noProof/>
          <w:sz w:val="20"/>
          <w:szCs w:val="20"/>
        </w:rPr>
      </w:pPr>
    </w:p>
    <w:p w:rsidR="00DB1E61" w:rsidRPr="00177219" w:rsidRDefault="00DB1E61" w:rsidP="00DB1E61">
      <w:pPr>
        <w:tabs>
          <w:tab w:val="left" w:pos="357"/>
          <w:tab w:val="left" w:pos="4320"/>
        </w:tabs>
        <w:jc w:val="both"/>
        <w:rPr>
          <w:rFonts w:ascii="Arial" w:hAnsi="Arial" w:cs="Arial"/>
          <w:noProof/>
          <w:sz w:val="20"/>
          <w:szCs w:val="20"/>
        </w:rPr>
      </w:pPr>
      <w:r w:rsidRPr="00177219">
        <w:rPr>
          <w:rFonts w:ascii="Arial" w:hAnsi="Arial" w:cs="Arial"/>
          <w:noProof/>
          <w:sz w:val="20"/>
          <w:szCs w:val="20"/>
        </w:rPr>
        <w:t>Internal quality control will be exercised by NUS Department of Chemistry, following the same quality assurance procedures for other MSc students in the department.</w:t>
      </w:r>
    </w:p>
    <w:p w:rsidR="00DB1E61" w:rsidRPr="00177219" w:rsidRDefault="00DB1E61" w:rsidP="00DB1E61">
      <w:pPr>
        <w:tabs>
          <w:tab w:val="left" w:pos="4320"/>
        </w:tabs>
        <w:jc w:val="both"/>
        <w:rPr>
          <w:rFonts w:ascii="Arial" w:hAnsi="Arial" w:cs="Arial"/>
          <w:b/>
          <w:noProof/>
          <w:sz w:val="20"/>
          <w:szCs w:val="20"/>
        </w:rPr>
      </w:pPr>
    </w:p>
    <w:p w:rsidR="00DB1E61" w:rsidRPr="00177219" w:rsidRDefault="00DB1E61" w:rsidP="00DB1E61">
      <w:pPr>
        <w:tabs>
          <w:tab w:val="left" w:pos="4320"/>
        </w:tabs>
        <w:jc w:val="both"/>
        <w:rPr>
          <w:rFonts w:ascii="Arial" w:hAnsi="Arial" w:cs="Arial"/>
          <w:b/>
          <w:noProof/>
          <w:sz w:val="20"/>
          <w:szCs w:val="20"/>
        </w:rPr>
      </w:pPr>
      <w:r w:rsidRPr="00177219">
        <w:rPr>
          <w:rFonts w:ascii="Arial" w:hAnsi="Arial" w:cs="Arial"/>
          <w:b/>
          <w:noProof/>
          <w:sz w:val="20"/>
          <w:szCs w:val="20"/>
        </w:rPr>
        <w:t>VI. Candidature and Duration</w:t>
      </w:r>
    </w:p>
    <w:p w:rsidR="00DB1E61" w:rsidRPr="00177219" w:rsidRDefault="00DB1E61" w:rsidP="00DB1E61">
      <w:pPr>
        <w:tabs>
          <w:tab w:val="left" w:pos="4320"/>
        </w:tabs>
        <w:jc w:val="both"/>
        <w:rPr>
          <w:rFonts w:ascii="Arial" w:hAnsi="Arial" w:cs="Arial"/>
          <w:noProof/>
          <w:sz w:val="20"/>
          <w:szCs w:val="20"/>
        </w:rPr>
      </w:pPr>
    </w:p>
    <w:p w:rsidR="00DB1E61" w:rsidRPr="00177219" w:rsidRDefault="00DB1E61" w:rsidP="00DB1E61">
      <w:pPr>
        <w:tabs>
          <w:tab w:val="left" w:pos="357"/>
          <w:tab w:val="left" w:pos="4320"/>
        </w:tabs>
        <w:jc w:val="both"/>
        <w:rPr>
          <w:rFonts w:ascii="Arial" w:hAnsi="Arial" w:cs="Arial"/>
          <w:noProof/>
          <w:sz w:val="20"/>
          <w:szCs w:val="20"/>
        </w:rPr>
      </w:pPr>
      <w:r w:rsidRPr="00177219">
        <w:rPr>
          <w:rFonts w:ascii="Arial" w:hAnsi="Arial" w:cs="Arial"/>
          <w:noProof/>
          <w:sz w:val="20"/>
          <w:szCs w:val="20"/>
        </w:rPr>
        <w:t>The candidature for the two Master’s programmes in this Double Master Degree programme would be independent of each other.</w:t>
      </w:r>
    </w:p>
    <w:p w:rsidR="00DB1E61" w:rsidRPr="00177219" w:rsidRDefault="00DB1E61" w:rsidP="00DB1E61">
      <w:pPr>
        <w:tabs>
          <w:tab w:val="left" w:pos="357"/>
          <w:tab w:val="left" w:pos="4320"/>
        </w:tabs>
        <w:jc w:val="both"/>
        <w:rPr>
          <w:rFonts w:ascii="Arial" w:hAnsi="Arial" w:cs="Arial"/>
          <w:noProof/>
          <w:sz w:val="20"/>
          <w:szCs w:val="20"/>
        </w:rPr>
      </w:pPr>
    </w:p>
    <w:p w:rsidR="00DB1E61" w:rsidRPr="00177219" w:rsidRDefault="00DB1E61" w:rsidP="00DB1E61">
      <w:pPr>
        <w:tabs>
          <w:tab w:val="left" w:pos="357"/>
          <w:tab w:val="left" w:pos="4320"/>
        </w:tabs>
        <w:jc w:val="both"/>
        <w:rPr>
          <w:rFonts w:ascii="Arial" w:hAnsi="Arial" w:cs="Arial"/>
          <w:noProof/>
          <w:sz w:val="20"/>
          <w:szCs w:val="20"/>
        </w:rPr>
      </w:pPr>
      <w:r w:rsidRPr="00177219">
        <w:rPr>
          <w:rFonts w:ascii="Arial" w:hAnsi="Arial" w:cs="Arial"/>
          <w:noProof/>
          <w:sz w:val="20"/>
          <w:szCs w:val="20"/>
        </w:rPr>
        <w:t>The minimum and maximum periods of candidature for NUS M.Sc. degree was one and three years, respectively.</w:t>
      </w:r>
    </w:p>
    <w:p w:rsidR="00DB1E61" w:rsidRPr="00177219" w:rsidRDefault="00DB1E61" w:rsidP="00DB1E61">
      <w:pPr>
        <w:tabs>
          <w:tab w:val="left" w:pos="357"/>
          <w:tab w:val="left" w:pos="4320"/>
        </w:tabs>
        <w:jc w:val="both"/>
        <w:rPr>
          <w:rFonts w:ascii="Arial" w:hAnsi="Arial" w:cs="Arial"/>
          <w:noProof/>
          <w:sz w:val="20"/>
          <w:szCs w:val="20"/>
        </w:rPr>
      </w:pPr>
    </w:p>
    <w:p w:rsidR="00DB1E61" w:rsidRPr="00177219" w:rsidRDefault="00DB1E61" w:rsidP="00DB1E61">
      <w:pPr>
        <w:tabs>
          <w:tab w:val="left" w:pos="357"/>
          <w:tab w:val="left" w:pos="4320"/>
        </w:tabs>
        <w:jc w:val="both"/>
        <w:rPr>
          <w:rFonts w:ascii="Arial" w:hAnsi="Arial" w:cs="Arial"/>
          <w:noProof/>
          <w:sz w:val="20"/>
          <w:szCs w:val="20"/>
          <w:lang w:val="en-SG"/>
        </w:rPr>
      </w:pPr>
      <w:r w:rsidRPr="00177219">
        <w:rPr>
          <w:rFonts w:ascii="Arial" w:hAnsi="Arial" w:cs="Arial"/>
          <w:noProof/>
          <w:sz w:val="20"/>
          <w:szCs w:val="20"/>
        </w:rPr>
        <w:t>Leave of absence could be granted for up to one year only, and would be included in the computation of the maximum period of candidature.</w:t>
      </w:r>
    </w:p>
    <w:p w:rsidR="00DB1E61" w:rsidRPr="00177219" w:rsidRDefault="00DB1E61" w:rsidP="00DB1E61">
      <w:pPr>
        <w:tabs>
          <w:tab w:val="left" w:pos="357"/>
          <w:tab w:val="left" w:pos="4320"/>
        </w:tabs>
        <w:ind w:left="357"/>
        <w:jc w:val="both"/>
        <w:rPr>
          <w:rFonts w:ascii="Arial" w:hAnsi="Arial" w:cs="Arial"/>
          <w:noProof/>
          <w:sz w:val="20"/>
          <w:szCs w:val="20"/>
          <w:lang w:val="en-SG"/>
        </w:rPr>
      </w:pPr>
    </w:p>
    <w:p w:rsidR="00DB1E61" w:rsidRPr="00177219" w:rsidRDefault="00DB1E61" w:rsidP="00DB1E61">
      <w:pPr>
        <w:tabs>
          <w:tab w:val="left" w:pos="4320"/>
        </w:tabs>
        <w:jc w:val="both"/>
        <w:rPr>
          <w:rFonts w:ascii="Arial" w:hAnsi="Arial" w:cs="Arial"/>
          <w:b/>
          <w:noProof/>
          <w:sz w:val="20"/>
          <w:szCs w:val="20"/>
        </w:rPr>
      </w:pPr>
      <w:r w:rsidRPr="00177219">
        <w:rPr>
          <w:rFonts w:ascii="Arial" w:hAnsi="Arial" w:cs="Arial"/>
          <w:b/>
          <w:noProof/>
          <w:sz w:val="20"/>
          <w:szCs w:val="20"/>
        </w:rPr>
        <w:t>VII. Continuation and Graduation Requirements</w:t>
      </w:r>
    </w:p>
    <w:p w:rsidR="00DB1E61" w:rsidRPr="00177219" w:rsidRDefault="00DB1E61" w:rsidP="00DB1E61">
      <w:pPr>
        <w:tabs>
          <w:tab w:val="left" w:pos="4320"/>
        </w:tabs>
        <w:jc w:val="both"/>
        <w:rPr>
          <w:rFonts w:ascii="Arial" w:hAnsi="Arial" w:cs="Arial"/>
          <w:noProof/>
          <w:sz w:val="20"/>
          <w:szCs w:val="20"/>
        </w:rPr>
      </w:pPr>
    </w:p>
    <w:p w:rsidR="00DB1E61" w:rsidRPr="00177219" w:rsidRDefault="00DB1E61" w:rsidP="00DB1E61">
      <w:pPr>
        <w:tabs>
          <w:tab w:val="left" w:pos="4320"/>
        </w:tabs>
        <w:jc w:val="both"/>
        <w:rPr>
          <w:rFonts w:ascii="Arial" w:hAnsi="Arial" w:cs="Arial"/>
          <w:noProof/>
          <w:sz w:val="20"/>
          <w:szCs w:val="20"/>
        </w:rPr>
      </w:pPr>
      <w:r w:rsidRPr="00177219">
        <w:rPr>
          <w:rFonts w:ascii="Arial" w:hAnsi="Arial" w:cs="Arial"/>
          <w:noProof/>
          <w:sz w:val="20"/>
          <w:szCs w:val="20"/>
        </w:rPr>
        <w:t>To ensure high standards of coursework a student must obtain satisfactory progress during his/her candidature. The conditions for continuation and termination of candidature at NUS are as follows:</w:t>
      </w:r>
    </w:p>
    <w:p w:rsidR="00DB1E61" w:rsidRPr="00177219" w:rsidRDefault="00DB1E61" w:rsidP="00DB1E61">
      <w:pPr>
        <w:tabs>
          <w:tab w:val="left" w:pos="4320"/>
        </w:tabs>
        <w:jc w:val="both"/>
        <w:rPr>
          <w:rFonts w:ascii="Arial" w:hAnsi="Arial" w:cs="Arial"/>
          <w:noProof/>
          <w:sz w:val="20"/>
          <w:szCs w:val="20"/>
        </w:rPr>
      </w:pPr>
    </w:p>
    <w:p w:rsidR="00DB1E61" w:rsidRPr="00177219" w:rsidRDefault="00DB1E61" w:rsidP="00DB1E61">
      <w:pPr>
        <w:numPr>
          <w:ilvl w:val="0"/>
          <w:numId w:val="2"/>
        </w:numPr>
        <w:tabs>
          <w:tab w:val="left" w:pos="357"/>
          <w:tab w:val="left" w:pos="4320"/>
        </w:tabs>
        <w:ind w:left="357" w:hanging="357"/>
        <w:jc w:val="both"/>
        <w:rPr>
          <w:rFonts w:ascii="Arial" w:hAnsi="Arial" w:cs="Arial"/>
          <w:noProof/>
          <w:sz w:val="20"/>
          <w:szCs w:val="20"/>
        </w:rPr>
      </w:pPr>
      <w:r w:rsidRPr="00177219">
        <w:rPr>
          <w:rFonts w:ascii="Arial" w:hAnsi="Arial" w:cs="Arial"/>
          <w:noProof/>
          <w:sz w:val="20"/>
          <w:szCs w:val="20"/>
        </w:rPr>
        <w:lastRenderedPageBreak/>
        <w:t>A student will be issued warning for any semester in which his/her CAP falls below 3.00. If, in the following semester, the student's CAP again falls below 3.00 but above 2.50, he/she will be placed on probation.</w:t>
      </w:r>
    </w:p>
    <w:p w:rsidR="00DB1E61" w:rsidRPr="00177219" w:rsidRDefault="00DB1E61" w:rsidP="00DB1E61">
      <w:pPr>
        <w:numPr>
          <w:ilvl w:val="0"/>
          <w:numId w:val="2"/>
        </w:numPr>
        <w:tabs>
          <w:tab w:val="left" w:pos="357"/>
          <w:tab w:val="left" w:pos="4320"/>
        </w:tabs>
        <w:ind w:left="357" w:hanging="357"/>
        <w:jc w:val="both"/>
        <w:rPr>
          <w:rFonts w:ascii="Arial" w:hAnsi="Arial" w:cs="Arial"/>
          <w:noProof/>
          <w:sz w:val="20"/>
          <w:szCs w:val="20"/>
        </w:rPr>
      </w:pPr>
      <w:r w:rsidRPr="00177219">
        <w:rPr>
          <w:rFonts w:ascii="Arial" w:hAnsi="Arial" w:cs="Arial"/>
          <w:noProof/>
          <w:sz w:val="20"/>
          <w:szCs w:val="20"/>
        </w:rPr>
        <w:t>For continuation in the Master's programme, a student's CAP should not fall below 2.5 or equivalent for two consecutive semesters, or 3.0 for three consecutive semesters.</w:t>
      </w:r>
    </w:p>
    <w:p w:rsidR="00DB1E61" w:rsidRPr="00177219" w:rsidRDefault="00DB1E61" w:rsidP="00DB1E61">
      <w:pPr>
        <w:numPr>
          <w:ilvl w:val="0"/>
          <w:numId w:val="2"/>
        </w:numPr>
        <w:tabs>
          <w:tab w:val="left" w:pos="357"/>
          <w:tab w:val="left" w:pos="4320"/>
        </w:tabs>
        <w:ind w:left="357" w:hanging="357"/>
        <w:jc w:val="both"/>
        <w:rPr>
          <w:rFonts w:ascii="Arial" w:hAnsi="Arial" w:cs="Arial"/>
          <w:noProof/>
          <w:sz w:val="20"/>
          <w:szCs w:val="20"/>
        </w:rPr>
      </w:pPr>
      <w:r w:rsidRPr="00177219">
        <w:rPr>
          <w:rFonts w:ascii="Arial" w:hAnsi="Arial" w:cs="Arial"/>
          <w:noProof/>
          <w:sz w:val="20"/>
          <w:szCs w:val="20"/>
        </w:rPr>
        <w:t>Termination of candidature would result if a student fails to maintain the minimum CAP.</w:t>
      </w:r>
    </w:p>
    <w:p w:rsidR="00DB1E61" w:rsidRPr="00177219" w:rsidRDefault="00DB1E61" w:rsidP="00DB1E61">
      <w:pPr>
        <w:tabs>
          <w:tab w:val="left" w:pos="4320"/>
        </w:tabs>
        <w:jc w:val="both"/>
        <w:rPr>
          <w:rFonts w:ascii="Arial" w:hAnsi="Arial" w:cs="Arial"/>
          <w:noProof/>
          <w:sz w:val="20"/>
          <w:szCs w:val="20"/>
        </w:rPr>
      </w:pPr>
    </w:p>
    <w:p w:rsidR="00DB1E61" w:rsidRPr="00177219" w:rsidRDefault="00DB1E61" w:rsidP="00DB1E61">
      <w:pPr>
        <w:tabs>
          <w:tab w:val="left" w:pos="4320"/>
        </w:tabs>
        <w:jc w:val="both"/>
        <w:rPr>
          <w:rFonts w:ascii="Arial" w:hAnsi="Arial" w:cs="Arial"/>
          <w:b/>
          <w:noProof/>
          <w:sz w:val="20"/>
          <w:szCs w:val="20"/>
          <w:lang w:val="en-SG"/>
        </w:rPr>
      </w:pPr>
      <w:r w:rsidRPr="00177219">
        <w:rPr>
          <w:rFonts w:ascii="Arial" w:hAnsi="Arial" w:cs="Arial"/>
          <w:b/>
          <w:noProof/>
          <w:sz w:val="20"/>
          <w:szCs w:val="20"/>
          <w:lang w:val="en-SG"/>
        </w:rPr>
        <w:t>VIII. Examination and Assessment</w:t>
      </w:r>
    </w:p>
    <w:p w:rsidR="00DB1E61" w:rsidRPr="00177219" w:rsidRDefault="00DB1E61" w:rsidP="00DB1E61">
      <w:pPr>
        <w:tabs>
          <w:tab w:val="left" w:pos="4320"/>
        </w:tabs>
        <w:jc w:val="both"/>
        <w:rPr>
          <w:rFonts w:ascii="Arial" w:hAnsi="Arial" w:cs="Arial"/>
          <w:b/>
          <w:noProof/>
          <w:sz w:val="20"/>
          <w:szCs w:val="20"/>
          <w:lang w:val="en-SG"/>
        </w:rPr>
      </w:pPr>
    </w:p>
    <w:p w:rsidR="00DB1E61" w:rsidRPr="00177219" w:rsidRDefault="00DB1E61" w:rsidP="00DB1E61">
      <w:pPr>
        <w:tabs>
          <w:tab w:val="left" w:pos="4320"/>
        </w:tabs>
        <w:jc w:val="both"/>
        <w:rPr>
          <w:rFonts w:ascii="Arial" w:hAnsi="Arial" w:cs="Arial"/>
          <w:noProof/>
          <w:sz w:val="20"/>
          <w:szCs w:val="20"/>
          <w:lang w:val="en-SG"/>
        </w:rPr>
      </w:pPr>
      <w:r w:rsidRPr="00177219">
        <w:rPr>
          <w:rFonts w:ascii="Arial" w:hAnsi="Arial" w:cs="Arial"/>
          <w:noProof/>
          <w:sz w:val="20"/>
          <w:szCs w:val="20"/>
          <w:lang w:val="en-SG"/>
        </w:rPr>
        <w:t>For NUS MSc degree examinations, grading will abide by the prevailing rules and regulations of NUS.</w:t>
      </w:r>
    </w:p>
    <w:p w:rsidR="00F230B3" w:rsidRPr="00DB1E61" w:rsidRDefault="00F230B3">
      <w:pPr>
        <w:rPr>
          <w:lang w:val="en-SG"/>
        </w:rPr>
      </w:pPr>
    </w:p>
    <w:sectPr w:rsidR="00F230B3" w:rsidRPr="00DB1E61" w:rsidSect="00527F51">
      <w:headerReference w:type="even" r:id="rId6"/>
      <w:headerReference w:type="default" r:id="rId7"/>
      <w:footerReference w:type="even" r:id="rId8"/>
      <w:footerReference w:type="default" r:id="rId9"/>
      <w:headerReference w:type="first" r:id="rId10"/>
      <w:footerReference w:type="first" r:id="rId11"/>
      <w:pgSz w:w="11907" w:h="16840" w:code="9"/>
      <w:pgMar w:top="1440" w:right="1728" w:bottom="1440" w:left="1728" w:header="346"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C3" w:rsidRDefault="00DB1E61" w:rsidP="00C4728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D63C3" w:rsidRDefault="00DB1E61" w:rsidP="005A7CB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C3" w:rsidRPr="00AB42CF" w:rsidRDefault="00DB1E61" w:rsidP="00AB42CF">
    <w:pPr>
      <w:pStyle w:val="a4"/>
      <w:tabs>
        <w:tab w:val="clear" w:pos="8640"/>
        <w:tab w:val="right" w:pos="8460"/>
      </w:tabs>
    </w:pPr>
    <w:r>
      <w:rPr>
        <w:rFonts w:ascii="Arial" w:hAnsi="Arial" w:cs="Arial"/>
        <w:sz w:val="18"/>
        <w:szCs w:val="18"/>
      </w:rPr>
      <w:tab/>
    </w:r>
    <w:r>
      <w:rPr>
        <w:rFonts w:ascii="Arial" w:hAnsi="Arial" w:cs="Arial"/>
        <w:sz w:val="18"/>
        <w:szCs w:val="18"/>
      </w:rPr>
      <w:tab/>
    </w:r>
    <w:r w:rsidRPr="0027504A">
      <w:rPr>
        <w:rFonts w:ascii="Arial" w:hAnsi="Arial" w:cs="Arial"/>
        <w:sz w:val="18"/>
        <w:szCs w:val="18"/>
      </w:rPr>
      <w:t xml:space="preserve">Page </w:t>
    </w:r>
    <w:r w:rsidRPr="0027504A">
      <w:rPr>
        <w:rFonts w:ascii="Arial" w:hAnsi="Arial" w:cs="Arial"/>
        <w:sz w:val="18"/>
        <w:szCs w:val="18"/>
      </w:rPr>
      <w:fldChar w:fldCharType="begin"/>
    </w:r>
    <w:r w:rsidRPr="0027504A">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3</w:t>
    </w:r>
    <w:r w:rsidRPr="0027504A">
      <w:rPr>
        <w:rFonts w:ascii="Arial" w:hAnsi="Arial" w:cs="Arial"/>
        <w:sz w:val="18"/>
        <w:szCs w:val="18"/>
      </w:rPr>
      <w:fldChar w:fldCharType="end"/>
    </w:r>
    <w:r w:rsidRPr="0027504A">
      <w:rPr>
        <w:rFonts w:ascii="Arial" w:hAnsi="Arial" w:cs="Arial"/>
        <w:sz w:val="18"/>
        <w:szCs w:val="18"/>
      </w:rPr>
      <w:t xml:space="preserve"> of </w:t>
    </w:r>
    <w:r>
      <w:rPr>
        <w:rFonts w:ascii="Arial" w:hAnsi="Arial" w:cs="Arial"/>
        <w:sz w:val="18"/>
        <w:szCs w:val="18"/>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C3" w:rsidRDefault="00DB1E61" w:rsidP="00FB77DD">
    <w:pPr>
      <w:pStyle w:val="a4"/>
      <w:tabs>
        <w:tab w:val="clear" w:pos="8640"/>
        <w:tab w:val="right" w:pos="8460"/>
      </w:tabs>
    </w:pPr>
    <w:r>
      <w:rPr>
        <w:rFonts w:ascii="Arial" w:hAnsi="Arial" w:cs="Arial"/>
        <w:sz w:val="18"/>
        <w:szCs w:val="18"/>
      </w:rPr>
      <w:tab/>
    </w:r>
    <w:r>
      <w:rPr>
        <w:rFonts w:ascii="Arial" w:hAnsi="Arial" w:cs="Arial"/>
        <w:sz w:val="18"/>
        <w:szCs w:val="18"/>
      </w:rPr>
      <w:tab/>
    </w:r>
    <w:r w:rsidRPr="0027504A">
      <w:rPr>
        <w:rFonts w:ascii="Arial" w:hAnsi="Arial" w:cs="Arial"/>
        <w:sz w:val="18"/>
        <w:szCs w:val="18"/>
      </w:rPr>
      <w:t xml:space="preserve">Page </w:t>
    </w:r>
    <w:r>
      <w:rPr>
        <w:rFonts w:ascii="Arial" w:hAnsi="Arial" w:cs="Arial"/>
        <w:sz w:val="18"/>
        <w:szCs w:val="18"/>
      </w:rPr>
      <w:t>2</w:t>
    </w:r>
    <w:r w:rsidRPr="0027504A">
      <w:rPr>
        <w:rFonts w:ascii="Arial" w:hAnsi="Arial" w:cs="Arial"/>
        <w:sz w:val="18"/>
        <w:szCs w:val="18"/>
      </w:rPr>
      <w:t xml:space="preserve"> of </w:t>
    </w:r>
    <w:r>
      <w:rPr>
        <w:rFonts w:ascii="Arial" w:hAnsi="Arial" w:cs="Arial"/>
        <w:sz w:val="18"/>
        <w:szCs w:val="18"/>
      </w:rPr>
      <w:t>8</w:t>
    </w:r>
  </w:p>
  <w:p w:rsidR="009D63C3" w:rsidRDefault="00DB1E61">
    <w:pPr>
      <w:pStyle w:val="a4"/>
      <w:spacing w:line="240" w:lineRule="exac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C3" w:rsidRDefault="00DB1E6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C3" w:rsidRDefault="00DB1E6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C3" w:rsidRDefault="00DB1E61">
    <w:pPr>
      <w:pStyle w:val="a3"/>
      <w:spacing w:line="240" w:lineRule="exact"/>
      <w:rPr>
        <w:rFonts w:ascii="Verdana" w:hAnsi="Verdana"/>
        <w:b/>
        <w:bCs/>
        <w:sz w:val="20"/>
      </w:rPr>
    </w:pPr>
  </w:p>
  <w:p w:rsidR="009D63C3" w:rsidRDefault="00DB1E61">
    <w:pPr>
      <w:pStyle w:val="a3"/>
      <w:spacing w:line="240" w:lineRule="exact"/>
      <w:rPr>
        <w:rFonts w:ascii="Verdana" w:hAnsi="Verdana"/>
        <w:b/>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0283"/>
    <w:multiLevelType w:val="hybridMultilevel"/>
    <w:tmpl w:val="FA4E4D86"/>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47A70BB0"/>
    <w:multiLevelType w:val="hybridMultilevel"/>
    <w:tmpl w:val="0C906912"/>
    <w:lvl w:ilvl="0" w:tplc="48090017">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E61"/>
    <w:rsid w:val="00DB1E61"/>
    <w:rsid w:val="00F23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E61"/>
    <w:pPr>
      <w:spacing w:line="260" w:lineRule="exact"/>
    </w:pPr>
    <w:rPr>
      <w:rFonts w:ascii="Times New Roman" w:eastAsia="MS Mincho" w:hAnsi="Times New Roman" w:cs="Times New Roman"/>
      <w:kern w:val="0"/>
      <w:sz w:val="22"/>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B1E61"/>
    <w:pPr>
      <w:tabs>
        <w:tab w:val="center" w:pos="4320"/>
        <w:tab w:val="right" w:pos="8640"/>
      </w:tabs>
    </w:pPr>
  </w:style>
  <w:style w:type="character" w:customStyle="1" w:styleId="Char">
    <w:name w:val="页眉 Char"/>
    <w:basedOn w:val="a0"/>
    <w:link w:val="a3"/>
    <w:rsid w:val="00DB1E61"/>
    <w:rPr>
      <w:rFonts w:ascii="Times New Roman" w:eastAsia="MS Mincho" w:hAnsi="Times New Roman" w:cs="Times New Roman"/>
      <w:kern w:val="0"/>
      <w:sz w:val="22"/>
      <w:szCs w:val="24"/>
      <w:lang w:eastAsia="en-US"/>
    </w:rPr>
  </w:style>
  <w:style w:type="paragraph" w:styleId="a4">
    <w:name w:val="footer"/>
    <w:basedOn w:val="a"/>
    <w:link w:val="Char0"/>
    <w:rsid w:val="00DB1E61"/>
    <w:pPr>
      <w:tabs>
        <w:tab w:val="center" w:pos="4320"/>
        <w:tab w:val="right" w:pos="8640"/>
      </w:tabs>
    </w:pPr>
  </w:style>
  <w:style w:type="character" w:customStyle="1" w:styleId="Char0">
    <w:name w:val="页脚 Char"/>
    <w:basedOn w:val="a0"/>
    <w:link w:val="a4"/>
    <w:rsid w:val="00DB1E61"/>
    <w:rPr>
      <w:rFonts w:ascii="Times New Roman" w:eastAsia="MS Mincho" w:hAnsi="Times New Roman" w:cs="Times New Roman"/>
      <w:kern w:val="0"/>
      <w:sz w:val="22"/>
      <w:szCs w:val="24"/>
      <w:lang w:eastAsia="en-US"/>
    </w:rPr>
  </w:style>
  <w:style w:type="character" w:styleId="a5">
    <w:name w:val="page number"/>
    <w:basedOn w:val="a0"/>
    <w:rsid w:val="00DB1E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E61"/>
    <w:pPr>
      <w:spacing w:line="260" w:lineRule="exact"/>
    </w:pPr>
    <w:rPr>
      <w:rFonts w:ascii="Times New Roman" w:eastAsia="MS Mincho" w:hAnsi="Times New Roman" w:cs="Times New Roman"/>
      <w:kern w:val="0"/>
      <w:sz w:val="22"/>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B1E61"/>
    <w:pPr>
      <w:tabs>
        <w:tab w:val="center" w:pos="4320"/>
        <w:tab w:val="right" w:pos="8640"/>
      </w:tabs>
    </w:pPr>
  </w:style>
  <w:style w:type="character" w:customStyle="1" w:styleId="Char">
    <w:name w:val="页眉 Char"/>
    <w:basedOn w:val="a0"/>
    <w:link w:val="a3"/>
    <w:rsid w:val="00DB1E61"/>
    <w:rPr>
      <w:rFonts w:ascii="Times New Roman" w:eastAsia="MS Mincho" w:hAnsi="Times New Roman" w:cs="Times New Roman"/>
      <w:kern w:val="0"/>
      <w:sz w:val="22"/>
      <w:szCs w:val="24"/>
      <w:lang w:eastAsia="en-US"/>
    </w:rPr>
  </w:style>
  <w:style w:type="paragraph" w:styleId="a4">
    <w:name w:val="footer"/>
    <w:basedOn w:val="a"/>
    <w:link w:val="Char0"/>
    <w:rsid w:val="00DB1E61"/>
    <w:pPr>
      <w:tabs>
        <w:tab w:val="center" w:pos="4320"/>
        <w:tab w:val="right" w:pos="8640"/>
      </w:tabs>
    </w:pPr>
  </w:style>
  <w:style w:type="character" w:customStyle="1" w:styleId="Char0">
    <w:name w:val="页脚 Char"/>
    <w:basedOn w:val="a0"/>
    <w:link w:val="a4"/>
    <w:rsid w:val="00DB1E61"/>
    <w:rPr>
      <w:rFonts w:ascii="Times New Roman" w:eastAsia="MS Mincho" w:hAnsi="Times New Roman" w:cs="Times New Roman"/>
      <w:kern w:val="0"/>
      <w:sz w:val="22"/>
      <w:szCs w:val="24"/>
      <w:lang w:eastAsia="en-US"/>
    </w:rPr>
  </w:style>
  <w:style w:type="character" w:styleId="a5">
    <w:name w:val="page number"/>
    <w:basedOn w:val="a0"/>
    <w:rsid w:val="00DB1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4361</Characters>
  <Application>Microsoft Office Word</Application>
  <DocSecurity>0</DocSecurity>
  <Lines>36</Lines>
  <Paragraphs>10</Paragraphs>
  <ScaleCrop>false</ScaleCrop>
  <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Huanan</dc:creator>
  <cp:lastModifiedBy>WU Huanan</cp:lastModifiedBy>
  <cp:revision>1</cp:revision>
  <dcterms:created xsi:type="dcterms:W3CDTF">2017-04-09T07:26:00Z</dcterms:created>
  <dcterms:modified xsi:type="dcterms:W3CDTF">2017-04-09T07:27:00Z</dcterms:modified>
</cp:coreProperties>
</file>